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w:t>
      </w:r>
    </w:p>
    <w:p>
      <w:pPr>
        <w:spacing w:after="0" w:line="3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COMMISSION</w:t>
      </w:r>
    </w:p>
    <w:p>
      <w:pPr>
        <w:spacing w:after="0" w:line="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3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225425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GSI Technology, Inc.</w:t>
      </w:r>
    </w:p>
    <w:p>
      <w:pPr>
        <w:spacing w:after="0" w:line="24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820"/>
          </w:cols>
          <w:pgMar w:left="320" w:top="862" w:right="759" w:bottom="1440" w:gutter="0" w:footer="0" w:header="0"/>
        </w:sectPr>
      </w:pP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001-33387</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No.)</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770398779</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200" w:space="720"/>
            <w:col w:w="2500" w:space="720"/>
            <w:col w:w="2680"/>
          </w:cols>
          <w:pgMar w:left="320" w:top="862" w:right="75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1213 Elko Drive</w:t>
      </w:r>
    </w:p>
    <w:p>
      <w:pPr>
        <w:spacing w:after="0" w:line="3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Sunnyvale, California 94089</w:t>
      </w:r>
    </w:p>
    <w:p>
      <w:pPr>
        <w:spacing w:after="0" w:line="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Douglas Schirle</w:t>
      </w:r>
    </w:p>
    <w:p>
      <w:pPr>
        <w:spacing w:after="0" w:line="3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(408) 331-9802</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color w:val="auto"/>
        </w:rPr>
        <w:t>(Name and telephone number, including area code, of</w:t>
      </w:r>
    </w:p>
    <w:p>
      <w:pPr>
        <w:spacing w:after="0" w:line="2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person to contact in connection with this report)</w:t>
      </w:r>
    </w:p>
    <w:p>
      <w:pPr>
        <w:sectPr>
          <w:pgSz w:w="11900" w:h="16838" w:orient="portrait"/>
          <w:cols w:equalWidth="0" w:num="1">
            <w:col w:w="10820"/>
          </w:cols>
          <w:pgMar w:left="320" w:top="862" w:right="75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report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2025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862" w:right="7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Form SD of GSI Technology, Inc. (the “Company”) is filed pursuant to Rule 13p-1 under the Securities and Exchange Act of 1934 (together with the instructions to Form SD, the “Rule”) for the reporting period January 1, 2025 to December 31, 2025.</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registrant manufactures or contracts to manufacture products for which the minerals specified in the Rule are necessary to the functionality or production of those products. The specified minerals, which are collectively referred to in this report as “Conflict Minerals,” are gold, columbite-tantalite (coltan), cassiterite and wolframite, including their derivatives, which are limited to tantalum, tin and tungsten. The “Covered Countries” for purposes of the Rule and this report are the Democratic Republic of the Congo (the “DRC”), the Republic of the Congo, the Central African Republic, South Sudan, Uganda, Rwanda, Burundi, Tanzania, Zambia and Angola.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and Its Products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develops and markets high performance semiconductor memory products, including “Very Fast” static random access memory, or SRAM, that are incorporated primarily in high-performance networking and telecommunications equipment as well as military and aerospace applications. The Company also develops and markets its associative processing unit (APU), that is used primarily for artificial intelligence and high-performance computing. The Company’s products are found in routers, switches, wide area network infrastructure equipment, wireless base stations, network access equipment, radar and guidance systems, missiles, satellites, servers and data centers.</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employs a “fabless” model for the manufacture, assembly and testing of its integrated circuits. It does not own or operate its own foundries or manufacturing facilities. The Company currently outsources all of its integrated circuit manufacturing to one independent foundry, Taiwan Semiconductor Manufacturing Company, located in Taiwan. It also outsources most of the assembly and packaging of its products to subcontractors in Asia.</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of the products contracted by the Company to be manufactured, and for which the manufacture was completed during calendar 2025, consisted of integrated circuits. The Company’s integrated circuit products all contain small amounts of tin, tungsten, tantalum and gold which constitute Conflict Minerals. The Company has determined that these Conflict Minerals are necessary to the functionality or production of each of its integrated circuit products and that we are therefore subject to the reporting requirements of the Rule.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Throughout calendar 2025, the Company conducted a good faith reasonable country of origin inquiry (“RCOI”) regarding the Conflict Minerals used in, or in connection with the production of, the integrated circuits comprising the Company’s products. The RCOI was reasonably designed to determine whether any of such Conflict Minerals may have originated in the Covered Countries or may have come from recycled or scrap sources. In the RCOI, the Company requested its direct suppliers to provide supply chain information, based on the </w:t>
      </w:r>
      <w:r>
        <w:rPr>
          <w:rFonts w:ascii="Times New Roman" w:cs="Times New Roman" w:eastAsia="Times New Roman" w:hAnsi="Times New Roman"/>
          <w:sz w:val="18"/>
          <w:szCs w:val="18"/>
          <w:i w:val="1"/>
          <w:iCs w:val="1"/>
          <w:color w:val="auto"/>
        </w:rPr>
        <w:t>Conflict Minerals Reporting Template</w:t>
      </w:r>
      <w:r>
        <w:rPr>
          <w:rFonts w:ascii="Times New Roman" w:cs="Times New Roman" w:eastAsia="Times New Roman" w:hAnsi="Times New Roman"/>
          <w:sz w:val="18"/>
          <w:szCs w:val="18"/>
          <w:color w:val="auto"/>
        </w:rPr>
        <w:t xml:space="preserve"> (the “CMRT”) from the Responsible Minerals Initiative (“RMI”).</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furnished the CMRT to a total of four direct suppliers, consisting of one foundry and three assembly houses, which it determined accounted for substantially all of its manufacturing materials purchases during calendar 2025. The Company received responses from all of these direct suppliers. Based on the Company’s knowledge of the industry and its supply chain, the Company believes that the responses received from its direct suppliers were accurate and that the Company was justified in relying upon them.</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a member of the RMI, which provides to its members a list that includes the names, locations and conflict minerals policies of all smelters or refiners that have been found to be compliant with the Responsible Minerals Assurance Process assessment protocols. All of the smelters used by the Company’s foundry and assembly houses are included in the list of compliant smelters.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Based on the results of the RCOI, including the data provided by RMI, the Company has no reason to believe that any of the necessary Conflict Minerals used in, or in connection with the production of, any of its products originated in any of the Covered Countries. Therefore, in accordance with the Rule, the Company is not required to conduct a due diligence process or file a Conflict Minerals Report as an exhibit to this report.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foregoing information is also disclosed in the Investor Relations section of the Company’s website at </w:t>
      </w:r>
      <w:r>
        <w:rPr>
          <w:rFonts w:ascii="Times New Roman" w:cs="Times New Roman" w:eastAsia="Times New Roman" w:hAnsi="Times New Roman"/>
          <w:sz w:val="18"/>
          <w:szCs w:val="18"/>
          <w:i w:val="1"/>
          <w:iCs w:val="1"/>
          <w:color w:val="auto"/>
        </w:rPr>
        <w:t>www.gsitechnology.com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GSI Technology,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DOUGLAS SCHIRLE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Douglas Schirle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2026-06-12T07:02:24Z</dcterms:created>
  <dcterms:modified xsi:type="dcterms:W3CDTF">2026-06-12T07:02:24Z</dcterms:modified>
</cp:coreProperties>
</file>